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33" w:rsidRPr="00280333" w:rsidRDefault="00280333" w:rsidP="00280333">
      <w:pPr>
        <w:shd w:val="clear" w:color="auto" w:fill="9E1F62"/>
        <w:spacing w:before="285" w:after="143" w:line="347" w:lineRule="atLeast"/>
        <w:jc w:val="center"/>
        <w:outlineLvl w:val="1"/>
        <w:rPr>
          <w:rFonts w:ascii="Arial Narrow" w:eastAsia="Times New Roman" w:hAnsi="Arial Narrow" w:cs="Helvetica"/>
          <w:b/>
          <w:color w:val="FFFFFF"/>
          <w:lang w:eastAsia="fr-FR"/>
        </w:rPr>
      </w:pPr>
      <w:r w:rsidRPr="00280333">
        <w:rPr>
          <w:rFonts w:ascii="Arial Narrow" w:eastAsia="Times New Roman" w:hAnsi="Arial Narrow" w:cs="Helvetica"/>
          <w:b/>
          <w:color w:val="FFFFFF"/>
          <w:lang w:eastAsia="fr-FR"/>
        </w:rPr>
        <w:t>ECRIRE ET REDIGER, CONFERENCE CONSENSUS MARS 2018 : Les 10 recommandations phares du jury</w:t>
      </w:r>
    </w:p>
    <w:p w:rsidR="00280333" w:rsidRPr="00280333" w:rsidRDefault="00280333" w:rsidP="00280333">
      <w:pPr>
        <w:spacing w:after="143" w:line="240" w:lineRule="auto"/>
        <w:jc w:val="both"/>
        <w:rPr>
          <w:rFonts w:ascii="Arial Narrow" w:eastAsia="Times New Roman" w:hAnsi="Arial Narrow" w:cs="Calibri"/>
          <w:color w:val="333333"/>
          <w:lang w:eastAsia="fr-FR"/>
        </w:rPr>
      </w:pPr>
      <w:r w:rsidRPr="00280333">
        <w:rPr>
          <w:rFonts w:ascii="Arial Narrow" w:eastAsia="Times New Roman" w:hAnsi="Arial Narrow" w:cs="Calibri"/>
          <w:b/>
          <w:bCs/>
          <w:color w:val="333333"/>
          <w:lang w:eastAsia="fr-FR"/>
        </w:rPr>
        <w:t>Face aux difficultés rencontrées par les élèves pour rédiger, à la grande diversité des pratiques enseignantes et au manque de formation des enseignants dans ce domaine, les recommandations visent à éclairer les formateurs et les enseignants</w:t>
      </w:r>
      <w:r w:rsidRPr="00280333">
        <w:rPr>
          <w:rFonts w:ascii="Arial Narrow" w:eastAsia="Times New Roman" w:hAnsi="Arial Narrow" w:cs="Calibri"/>
          <w:color w:val="333333"/>
          <w:lang w:eastAsia="fr-FR"/>
        </w:rPr>
        <w:t>, particulièrement du primaire, dans leurs pratiques quotidiennes, en prenant appui sur des résultats d’évaluation.</w:t>
      </w:r>
    </w:p>
    <w:bookmarkStart w:id="0" w:name="_GoBack"/>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r w:rsidRPr="00280333">
        <w:rPr>
          <w:rFonts w:ascii="Arial Narrow" w:eastAsia="Times New Roman" w:hAnsi="Arial Narrow" w:cs="Helvetica"/>
          <w:color w:val="FFFFFF"/>
          <w:lang w:eastAsia="fr-FR"/>
        </w:rPr>
        <w:fldChar w:fldCharType="begin"/>
      </w:r>
      <w:r w:rsidRPr="00280333">
        <w:rPr>
          <w:rFonts w:ascii="Arial Narrow" w:eastAsia="Times New Roman" w:hAnsi="Arial Narrow" w:cs="Helvetica"/>
          <w:color w:val="FFFFFF"/>
          <w:lang w:eastAsia="fr-FR"/>
        </w:rPr>
        <w:instrText xml:space="preserve"> HYPERLINK "https://www.cnesco.fr/fr/ecrire-et-rediger/recommandations/" \l "object6156" </w:instrText>
      </w:r>
      <w:r w:rsidRPr="00280333">
        <w:rPr>
          <w:rFonts w:ascii="Arial Narrow" w:eastAsia="Times New Roman" w:hAnsi="Arial Narrow" w:cs="Helvetica"/>
          <w:color w:val="FFFFFF"/>
          <w:lang w:eastAsia="fr-FR"/>
        </w:rPr>
        <w:fldChar w:fldCharType="separate"/>
      </w:r>
      <w:r w:rsidRPr="00280333">
        <w:rPr>
          <w:rFonts w:ascii="Arial Narrow" w:eastAsia="Times New Roman" w:hAnsi="Arial Narrow" w:cs="Helvetica"/>
          <w:color w:val="FFFFFF"/>
          <w:u w:val="single"/>
          <w:lang w:eastAsia="fr-FR"/>
        </w:rPr>
        <w:t>1. Faire écrire les élèves dès l’école maternelle</w:t>
      </w:r>
      <w:r w:rsidRPr="00280333">
        <w:rPr>
          <w:rFonts w:ascii="Arial Narrow" w:eastAsia="Times New Roman" w:hAnsi="Arial Narrow" w:cs="Helvetica"/>
          <w:color w:val="FFFFFF"/>
          <w:lang w:eastAsia="fr-FR"/>
        </w:rPr>
        <w:fldChar w:fldCharType="end"/>
      </w:r>
      <w:r w:rsidRPr="00280333">
        <w:rPr>
          <w:rFonts w:ascii="Arial Narrow" w:eastAsia="Times New Roman" w:hAnsi="Arial Narrow" w:cs="Helvetica"/>
          <w:color w:val="FFFFFF"/>
          <w:lang w:eastAsia="fr-FR"/>
        </w:rPr>
        <w:t xml:space="preserve"> </w:t>
      </w:r>
    </w:p>
    <w:bookmarkEnd w:id="0"/>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L’élève n’a pas besoin d’être lecteur pour commencer à écrire.</w:t>
      </w:r>
      <w:r w:rsidRPr="00280333">
        <w:rPr>
          <w:rFonts w:ascii="Arial Narrow" w:hAnsi="Arial Narrow" w:cs="Calibri"/>
          <w:color w:val="333333"/>
          <w:sz w:val="22"/>
          <w:szCs w:val="22"/>
        </w:rPr>
        <w:t xml:space="preserve"> Au contraire, les premiers écrits permettent d’améliorer les premiers apprentissages de la lecture : les élèves peuvent ainsi comprendre le lien entre une écriture et sa correspondance sonore. Pour cela, il est possible de</w:t>
      </w:r>
      <w:r w:rsidRPr="00280333">
        <w:rPr>
          <w:rStyle w:val="lev"/>
          <w:rFonts w:ascii="Arial Narrow" w:hAnsi="Arial Narrow" w:cs="Calibri"/>
          <w:color w:val="333333"/>
          <w:sz w:val="22"/>
          <w:szCs w:val="22"/>
        </w:rPr>
        <w:t xml:space="preserve"> prendre appui sur leurs tentatives d’écriture de ce qu’ils entendent</w:t>
      </w:r>
      <w:r w:rsidRPr="00280333">
        <w:rPr>
          <w:rFonts w:ascii="Arial Narrow" w:hAnsi="Arial Narrow" w:cs="Calibri"/>
          <w:color w:val="333333"/>
          <w:sz w:val="22"/>
          <w:szCs w:val="22"/>
        </w:rPr>
        <w:t>.</w:t>
      </w:r>
    </w:p>
    <w:p w:rsidR="00280333" w:rsidRPr="00280333" w:rsidRDefault="00280333" w:rsidP="00280333">
      <w:pPr>
        <w:pStyle w:val="Titre5"/>
        <w:spacing w:before="143" w:after="143" w:line="248" w:lineRule="atLeast"/>
        <w:rPr>
          <w:rFonts w:ascii="Arial Narrow" w:hAnsi="Arial Narrow" w:cs="Helvetica"/>
          <w:color w:val="401B5B"/>
        </w:rPr>
      </w:pPr>
      <w:r w:rsidRPr="00280333">
        <w:rPr>
          <w:rStyle w:val="lev"/>
          <w:rFonts w:ascii="Arial Narrow" w:hAnsi="Arial Narrow" w:cs="Helvetica"/>
          <w:b w:val="0"/>
          <w:bCs w:val="0"/>
          <w:color w:val="401B5B"/>
        </w:rPr>
        <w:t>L’exemple </w:t>
      </w:r>
    </w:p>
    <w:p w:rsidR="00280333" w:rsidRPr="00280333" w:rsidRDefault="00280333" w:rsidP="00280333">
      <w:pPr>
        <w:pStyle w:val="Titre5"/>
        <w:spacing w:before="143" w:after="143" w:line="248" w:lineRule="atLeast"/>
        <w:rPr>
          <w:rFonts w:ascii="Arial Narrow" w:hAnsi="Arial Narrow" w:cs="Helvetica"/>
          <w:b/>
          <w:bCs/>
          <w:color w:val="401B5B"/>
        </w:rPr>
      </w:pPr>
      <w:r w:rsidRPr="00280333">
        <w:rPr>
          <w:rFonts w:ascii="Arial Narrow" w:hAnsi="Arial Narrow" w:cs="Helvetica"/>
          <w:b/>
          <w:bCs/>
          <w:color w:val="401B5B"/>
        </w:rPr>
        <w:t>L’écriture approchée : lorsque l’élève essaye d’écrire « robe » :</w:t>
      </w:r>
      <w:r w:rsidRPr="00280333">
        <w:rPr>
          <w:rFonts w:ascii="Arial Narrow" w:hAnsi="Arial Narrow" w:cs="Helvetica"/>
          <w:b/>
          <w:bCs/>
          <w:color w:val="401B5B"/>
        </w:rPr>
        <w:br/>
        <w:t>S’il écrit « R », l’enseignant peut lui proposer la 2e consonne : RB</w:t>
      </w:r>
      <w:r w:rsidRPr="00280333">
        <w:rPr>
          <w:rFonts w:ascii="Arial Narrow" w:hAnsi="Arial Narrow" w:cs="Helvetica"/>
          <w:b/>
          <w:bCs/>
          <w:color w:val="401B5B"/>
        </w:rPr>
        <w:br/>
        <w:t>S’il écrit « RB » l’enseignant peut lui proposer d’ajouter la 1re voyelle : ROB</w:t>
      </w:r>
      <w:r w:rsidRPr="00280333">
        <w:rPr>
          <w:rFonts w:ascii="Arial Narrow" w:hAnsi="Arial Narrow" w:cs="Helvetica"/>
          <w:b/>
          <w:bCs/>
          <w:color w:val="401B5B"/>
        </w:rPr>
        <w:br/>
        <w:t>S’il écrit « ROB », l’enseignant peut lui proposer l’orthographe exacte : ROBE</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De plus, les élèves identifieront d’autant plus les lettres de l’alphabet qu’ils maîtriseront le geste d’écriture</w:t>
      </w:r>
      <w:r w:rsidRPr="00280333">
        <w:rPr>
          <w:rFonts w:ascii="Arial Narrow" w:hAnsi="Arial Narrow" w:cs="Calibri"/>
          <w:color w:val="333333"/>
          <w:sz w:val="22"/>
          <w:szCs w:val="22"/>
        </w:rPr>
        <w:t>. L’apprentissage du geste a donc toute son importance à l’école maternelle.</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5" w:anchor="object6179" w:history="1">
        <w:r w:rsidRPr="00280333">
          <w:rPr>
            <w:rFonts w:ascii="Arial Narrow" w:eastAsia="Times New Roman" w:hAnsi="Arial Narrow" w:cs="Helvetica"/>
            <w:color w:val="FFFFFF"/>
            <w:u w:val="single"/>
            <w:lang w:eastAsia="fr-FR"/>
          </w:rPr>
          <w:t>2. Former les élèves à l’usage du clavier, tout en continuant d’écrire à la main</w:t>
        </w:r>
      </w:hyperlink>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L’arrivée du numérique ne remet pas en cause l’apprentissage de l’écriture à la main.</w:t>
      </w:r>
      <w:r w:rsidRPr="00280333">
        <w:rPr>
          <w:rFonts w:ascii="Arial Narrow" w:hAnsi="Arial Narrow" w:cs="Calibri"/>
          <w:color w:val="333333"/>
          <w:sz w:val="22"/>
          <w:szCs w:val="22"/>
        </w:rPr>
        <w:t xml:space="preserve"> Cependant, il parait nécessaire de proposer un enseignement de l’écriture au clavier dès la fin de l’école primaire. De nombreuses applications peuvent être utilisées de manière ludique pour </w:t>
      </w:r>
      <w:r w:rsidRPr="00280333">
        <w:rPr>
          <w:rStyle w:val="lev"/>
          <w:rFonts w:ascii="Arial Narrow" w:hAnsi="Arial Narrow" w:cs="Calibri"/>
          <w:color w:val="333333"/>
          <w:sz w:val="22"/>
          <w:szCs w:val="22"/>
        </w:rPr>
        <w:t>développer la vitesse d’écriture, la localisation et la reconnaissance des lettres.</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Il est également pertinent de </w:t>
      </w:r>
      <w:r w:rsidRPr="00280333">
        <w:rPr>
          <w:rStyle w:val="lev"/>
          <w:rFonts w:ascii="Arial Narrow" w:hAnsi="Arial Narrow" w:cs="Calibri"/>
          <w:color w:val="333333"/>
          <w:sz w:val="22"/>
          <w:szCs w:val="22"/>
        </w:rPr>
        <w:t>favoriser l’utilisation du clavier pour les élèves qui ont des difficultés motrices</w:t>
      </w:r>
      <w:r w:rsidRPr="00280333">
        <w:rPr>
          <w:rFonts w:ascii="Arial Narrow" w:hAnsi="Arial Narrow" w:cs="Calibri"/>
          <w:color w:val="333333"/>
          <w:sz w:val="22"/>
          <w:szCs w:val="22"/>
        </w:rPr>
        <w:t>, afin de libérer leur attention pendant une tâche de production ou pour un apprentissage. Pour autant, l’apprentissage de l’écriture manuscrite doit être poursuivi pour ces élèves.</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6" w:anchor="object6202" w:history="1">
        <w:r w:rsidRPr="00280333">
          <w:rPr>
            <w:rFonts w:ascii="Arial Narrow" w:eastAsia="Times New Roman" w:hAnsi="Arial Narrow" w:cs="Helvetica"/>
            <w:color w:val="FFFFFF"/>
            <w:u w:val="single"/>
            <w:lang w:eastAsia="fr-FR"/>
          </w:rPr>
          <w:t>3. Entraîner fréquemment les élèves à rédiger</w:t>
        </w:r>
      </w:hyperlink>
      <w:r w:rsidRPr="00280333">
        <w:rPr>
          <w:rFonts w:ascii="Arial Narrow" w:eastAsia="Times New Roman" w:hAnsi="Arial Narrow" w:cs="Helvetica"/>
          <w:color w:val="FFFFFF"/>
          <w:lang w:eastAsia="fr-FR"/>
        </w:rPr>
        <w:t xml:space="preserve"> </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Le recours à des exercices guidés de copie de mots et de textes, puis plus tard l’écriture de mots sous dictée peut contribuer à l’apprentissage de la forme écrite de la langue.</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Dans ces deux types de tâches, une progression pourra s’établir avec </w:t>
      </w:r>
      <w:r w:rsidRPr="00280333">
        <w:rPr>
          <w:rStyle w:val="lev"/>
          <w:rFonts w:ascii="Arial Narrow" w:hAnsi="Arial Narrow" w:cs="Calibri"/>
          <w:color w:val="333333"/>
          <w:sz w:val="22"/>
          <w:szCs w:val="22"/>
        </w:rPr>
        <w:t>d’abord des mots dans lesquels la correspondance avec l’oral est simple</w:t>
      </w:r>
      <w:r w:rsidRPr="00280333">
        <w:rPr>
          <w:rFonts w:ascii="Arial Narrow" w:hAnsi="Arial Narrow" w:cs="Calibri"/>
          <w:color w:val="333333"/>
          <w:sz w:val="22"/>
          <w:szCs w:val="22"/>
        </w:rPr>
        <w:t>, puis d’introduire progressivement des mots présentant des irrégularités.</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De façon générale, </w:t>
      </w:r>
      <w:r w:rsidRPr="00280333">
        <w:rPr>
          <w:rStyle w:val="lev"/>
          <w:rFonts w:ascii="Arial Narrow" w:hAnsi="Arial Narrow" w:cs="Calibri"/>
          <w:color w:val="333333"/>
          <w:sz w:val="22"/>
          <w:szCs w:val="22"/>
        </w:rPr>
        <w:t>plus les élèves écrivent, plus ils progressent.</w:t>
      </w:r>
      <w:r w:rsidRPr="00280333">
        <w:rPr>
          <w:rFonts w:ascii="Arial Narrow" w:hAnsi="Arial Narrow" w:cs="Calibri"/>
          <w:color w:val="333333"/>
          <w:sz w:val="22"/>
          <w:szCs w:val="22"/>
        </w:rPr>
        <w:t xml:space="preserve"> Ils doivent donc être fréquemment et régulièrement amenés à rédiger des textes courts accompagnés de contraintes (rédiger un texte à l’imparfait, se mettre à la place d’un personnage, s’adresser à des destinataires différents…),  afin de se créer des automatismes et d’élaborer des démarches différentes dans des contextes variés (récit, compte-rendu de recherche).</w:t>
      </w:r>
    </w:p>
    <w:p w:rsidR="00280333" w:rsidRPr="00280333" w:rsidRDefault="00280333" w:rsidP="00280333">
      <w:pPr>
        <w:pStyle w:val="Titre5"/>
        <w:spacing w:before="143" w:after="143" w:line="248" w:lineRule="atLeast"/>
        <w:jc w:val="both"/>
        <w:rPr>
          <w:rFonts w:ascii="Arial Narrow" w:hAnsi="Arial Narrow" w:cs="Helvetica"/>
          <w:color w:val="401B5B"/>
        </w:rPr>
      </w:pPr>
      <w:r w:rsidRPr="00280333">
        <w:rPr>
          <w:rStyle w:val="lev"/>
          <w:rFonts w:ascii="Arial Narrow" w:hAnsi="Arial Narrow" w:cs="Helvetica"/>
          <w:b w:val="0"/>
          <w:bCs w:val="0"/>
          <w:color w:val="401B5B"/>
        </w:rPr>
        <w:t>Des exemples de textes courts avec contraintes </w:t>
      </w:r>
    </w:p>
    <w:p w:rsidR="00280333" w:rsidRPr="00280333" w:rsidRDefault="00280333" w:rsidP="00280333">
      <w:pPr>
        <w:pStyle w:val="Titre5"/>
        <w:spacing w:before="143" w:after="143" w:line="248" w:lineRule="atLeast"/>
        <w:jc w:val="both"/>
        <w:rPr>
          <w:rFonts w:ascii="Arial Narrow" w:hAnsi="Arial Narrow" w:cs="Helvetica"/>
          <w:b/>
          <w:bCs/>
          <w:color w:val="401B5B"/>
        </w:rPr>
      </w:pPr>
      <w:r w:rsidRPr="00280333">
        <w:rPr>
          <w:rFonts w:ascii="Arial Narrow" w:hAnsi="Arial Narrow" w:cs="Helvetica"/>
          <w:b/>
          <w:bCs/>
          <w:color w:val="401B5B"/>
        </w:rPr>
        <w:t>Écrire un lipogramme : par exemple, écrire un texte sans la lettre « e ».</w:t>
      </w:r>
    </w:p>
    <w:p w:rsidR="00280333" w:rsidRPr="00280333" w:rsidRDefault="00280333" w:rsidP="00280333">
      <w:pPr>
        <w:pStyle w:val="Titre5"/>
        <w:spacing w:before="143" w:after="143" w:line="248" w:lineRule="atLeast"/>
        <w:jc w:val="both"/>
        <w:rPr>
          <w:rFonts w:ascii="Arial Narrow" w:hAnsi="Arial Narrow" w:cs="Helvetica"/>
          <w:b/>
          <w:bCs/>
          <w:color w:val="401B5B"/>
        </w:rPr>
      </w:pPr>
      <w:r w:rsidRPr="00280333">
        <w:rPr>
          <w:rFonts w:ascii="Arial Narrow" w:hAnsi="Arial Narrow" w:cs="Helvetica"/>
          <w:b/>
          <w:bCs/>
          <w:color w:val="401B5B"/>
        </w:rPr>
        <w:t>Écrire pour des destinataires différents : par exemple, raconter le film vu à un copain ou en faire un résumé pour un journal</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7" w:anchor="object6225" w:history="1">
        <w:r w:rsidRPr="00280333">
          <w:rPr>
            <w:rFonts w:ascii="Arial Narrow" w:eastAsia="Times New Roman" w:hAnsi="Arial Narrow" w:cs="Helvetica"/>
            <w:color w:val="FFFFFF"/>
            <w:u w:val="single"/>
            <w:lang w:eastAsia="fr-FR"/>
          </w:rPr>
          <w:t>4. Utiliser le brouillon comme un outil permettant de construire librement sa pensée</w:t>
        </w:r>
      </w:hyperlink>
      <w:r w:rsidRPr="00280333">
        <w:rPr>
          <w:rFonts w:ascii="Arial Narrow" w:eastAsia="Times New Roman" w:hAnsi="Arial Narrow" w:cs="Helvetica"/>
          <w:color w:val="FFFFFF"/>
          <w:lang w:eastAsia="fr-FR"/>
        </w:rPr>
        <w:t xml:space="preserve"> </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Prendre des notes, résumer, reformuler les textes lus, y ajouter des croquis, des schémas, etc., sont des activités qui développent les capacités des élèves à construire leur pensée. </w:t>
      </w:r>
      <w:r w:rsidRPr="00280333">
        <w:rPr>
          <w:rStyle w:val="lev"/>
          <w:rFonts w:ascii="Arial Narrow" w:hAnsi="Arial Narrow" w:cs="Calibri"/>
          <w:color w:val="333333"/>
          <w:sz w:val="22"/>
          <w:szCs w:val="22"/>
        </w:rPr>
        <w:t>Le brouillon, en tant qu’écrit provisoire, a toute sa place dans la classe, pour préparer les écrits et pour les retravailler.</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Diversifier les manières de préparer les productions écrites des élèves</w:t>
      </w:r>
      <w:r w:rsidRPr="00280333">
        <w:rPr>
          <w:rFonts w:ascii="Arial Narrow" w:hAnsi="Arial Narrow" w:cs="Calibri"/>
          <w:color w:val="333333"/>
          <w:sz w:val="22"/>
          <w:szCs w:val="22"/>
        </w:rPr>
        <w:t xml:space="preserve"> peut permettre de développer leur créativité et leur réflexion sur la structure de leurs textes.</w:t>
      </w:r>
    </w:p>
    <w:p w:rsidR="00280333" w:rsidRPr="00280333" w:rsidRDefault="00280333" w:rsidP="00280333">
      <w:pPr>
        <w:pStyle w:val="Titre5"/>
        <w:spacing w:before="143" w:after="143" w:line="248" w:lineRule="atLeast"/>
        <w:rPr>
          <w:rFonts w:ascii="Arial Narrow" w:hAnsi="Arial Narrow" w:cs="Helvetica"/>
          <w:color w:val="401B5B"/>
        </w:rPr>
      </w:pPr>
      <w:r w:rsidRPr="00280333">
        <w:rPr>
          <w:rStyle w:val="lev"/>
          <w:rFonts w:ascii="Arial Narrow" w:hAnsi="Arial Narrow" w:cs="Helvetica"/>
          <w:b w:val="0"/>
          <w:bCs w:val="0"/>
          <w:color w:val="401B5B"/>
        </w:rPr>
        <w:t>Des exemples de préparation à l’activité d’écriture</w:t>
      </w:r>
    </w:p>
    <w:p w:rsidR="00280333" w:rsidRPr="00280333" w:rsidRDefault="00280333" w:rsidP="00280333">
      <w:pPr>
        <w:pStyle w:val="Titre5"/>
        <w:spacing w:before="143" w:after="143" w:line="248" w:lineRule="atLeast"/>
        <w:rPr>
          <w:rFonts w:ascii="Arial Narrow" w:hAnsi="Arial Narrow" w:cs="Helvetica"/>
          <w:b/>
          <w:bCs/>
          <w:color w:val="401B5B"/>
        </w:rPr>
      </w:pPr>
      <w:r w:rsidRPr="00280333">
        <w:rPr>
          <w:rFonts w:ascii="Arial Narrow" w:hAnsi="Arial Narrow" w:cs="Helvetica"/>
          <w:b/>
          <w:bCs/>
          <w:color w:val="401B5B"/>
        </w:rPr>
        <w:t>Prise de notes</w:t>
      </w:r>
      <w:r w:rsidRPr="00280333">
        <w:rPr>
          <w:rFonts w:ascii="Arial Narrow" w:hAnsi="Arial Narrow" w:cs="Helvetica"/>
          <w:b/>
          <w:bCs/>
          <w:color w:val="401B5B"/>
        </w:rPr>
        <w:br/>
        <w:t>Travail sur le lexique à mobiliser</w:t>
      </w:r>
      <w:r w:rsidRPr="00280333">
        <w:rPr>
          <w:rFonts w:ascii="Arial Narrow" w:hAnsi="Arial Narrow" w:cs="Helvetica"/>
          <w:b/>
          <w:bCs/>
          <w:color w:val="401B5B"/>
        </w:rPr>
        <w:br/>
        <w:t>Réalisation de schémas</w:t>
      </w:r>
      <w:r w:rsidRPr="00280333">
        <w:rPr>
          <w:rFonts w:ascii="Arial Narrow" w:hAnsi="Arial Narrow" w:cs="Helvetica"/>
          <w:b/>
          <w:bCs/>
          <w:color w:val="401B5B"/>
        </w:rPr>
        <w:br/>
        <w:t>Mise en place de cartes mentales</w:t>
      </w:r>
    </w:p>
    <w:p w:rsidR="00280333" w:rsidRPr="00280333" w:rsidRDefault="00280333" w:rsidP="00280333">
      <w:pPr>
        <w:pStyle w:val="NormalWeb"/>
        <w:spacing w:before="0" w:beforeAutospacing="0" w:after="143" w:afterAutospacing="0"/>
        <w:rPr>
          <w:rFonts w:ascii="Arial Narrow" w:hAnsi="Arial Narrow" w:cs="Calibri"/>
          <w:color w:val="333333"/>
          <w:sz w:val="22"/>
          <w:szCs w:val="22"/>
        </w:rPr>
      </w:pPr>
      <w:r w:rsidRPr="00280333">
        <w:rPr>
          <w:rFonts w:ascii="Arial Narrow" w:hAnsi="Arial Narrow" w:cs="Calibri"/>
          <w:color w:val="333333"/>
          <w:sz w:val="22"/>
          <w:szCs w:val="22"/>
        </w:rPr>
        <w:t> </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À ce premier stade de la production d’un écrit, l’enseignant se positionne, avant tout, </w:t>
      </w:r>
      <w:r w:rsidRPr="00280333">
        <w:rPr>
          <w:rStyle w:val="lev"/>
          <w:rFonts w:ascii="Arial Narrow" w:hAnsi="Arial Narrow" w:cs="Calibri"/>
          <w:color w:val="333333"/>
          <w:sz w:val="22"/>
          <w:szCs w:val="22"/>
        </w:rPr>
        <w:t>comme lecteur du travail de préparation de l’élève et l’entraîne à l’enrichir en le questionnant sur le contenu de sa production</w:t>
      </w:r>
      <w:r w:rsidRPr="00280333">
        <w:rPr>
          <w:rFonts w:ascii="Arial Narrow" w:hAnsi="Arial Narrow" w:cs="Calibri"/>
          <w:color w:val="333333"/>
          <w:sz w:val="22"/>
          <w:szCs w:val="22"/>
        </w:rPr>
        <w:t xml:space="preserve"> (et non sur la forme). Une évaluation de l’orthographe serait prématurée à ce stade.</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lastRenderedPageBreak/>
        <w:t xml:space="preserve">Les traces de ces activités de préparation et de révision sont des indices, pour l’enseignant, de la diversité des modalités par lesquelles les élèves entrent dans l’écrit. Il peut </w:t>
      </w:r>
      <w:r w:rsidRPr="00280333">
        <w:rPr>
          <w:rStyle w:val="lev"/>
          <w:rFonts w:ascii="Arial Narrow" w:hAnsi="Arial Narrow" w:cs="Calibri"/>
          <w:color w:val="333333"/>
          <w:sz w:val="22"/>
          <w:szCs w:val="22"/>
        </w:rPr>
        <w:t>s’intéresser aux ratures des élèves, aux signes visibles de leur travail sur la langue et/ou aux signes visibles de leur volonté d’expression personnelle.</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8" w:anchor="object6248" w:history="1">
        <w:r w:rsidRPr="00280333">
          <w:rPr>
            <w:rFonts w:ascii="Arial Narrow" w:eastAsia="Times New Roman" w:hAnsi="Arial Narrow" w:cs="Helvetica"/>
            <w:color w:val="FFFFFF"/>
            <w:u w:val="single"/>
            <w:lang w:eastAsia="fr-FR"/>
          </w:rPr>
          <w:t>5. Faire de l’écriture une activité collective</w:t>
        </w:r>
      </w:hyperlink>
      <w:r w:rsidRPr="00280333">
        <w:rPr>
          <w:rFonts w:ascii="Arial Narrow" w:eastAsia="Times New Roman" w:hAnsi="Arial Narrow" w:cs="Helvetica"/>
          <w:color w:val="FFFFFF"/>
          <w:lang w:eastAsia="fr-FR"/>
        </w:rPr>
        <w:t xml:space="preserve"> </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La qualité des productions écrites des élèves peut être améliorée par un travail à plusieurs. Ainsi, au moment de rédiger comme au moment de réviser un texte, les élèves peuvent interagir avec leurs camarades. Cela leur permet d’</w:t>
      </w:r>
      <w:r w:rsidRPr="00280333">
        <w:rPr>
          <w:rStyle w:val="lev"/>
          <w:rFonts w:ascii="Arial Narrow" w:hAnsi="Arial Narrow" w:cs="Calibri"/>
          <w:color w:val="333333"/>
          <w:sz w:val="22"/>
          <w:szCs w:val="22"/>
        </w:rPr>
        <w:t>améliorer leur texte</w:t>
      </w:r>
      <w:r w:rsidRPr="00280333">
        <w:rPr>
          <w:rFonts w:ascii="Arial Narrow" w:hAnsi="Arial Narrow" w:cs="Calibri"/>
          <w:color w:val="333333"/>
          <w:sz w:val="22"/>
          <w:szCs w:val="22"/>
        </w:rPr>
        <w:t xml:space="preserve"> (respect de l’orthographe, structure…), </w:t>
      </w:r>
      <w:r w:rsidRPr="00280333">
        <w:rPr>
          <w:rStyle w:val="lev"/>
          <w:rFonts w:ascii="Arial Narrow" w:hAnsi="Arial Narrow" w:cs="Calibri"/>
          <w:color w:val="333333"/>
          <w:sz w:val="22"/>
          <w:szCs w:val="22"/>
        </w:rPr>
        <w:t>de verbaliser leurs stratégies mais aussi de développer leur esprit critique et leurs capacités d’argumentation</w:t>
      </w:r>
      <w:r w:rsidRPr="00280333">
        <w:rPr>
          <w:rFonts w:ascii="Arial Narrow" w:hAnsi="Arial Narrow" w:cs="Calibri"/>
          <w:color w:val="333333"/>
          <w:sz w:val="22"/>
          <w:szCs w:val="22"/>
        </w:rPr>
        <w:t>. De plus, le fait d’avoir un lecteur améliore la qualité des textes produits par les élèves (lecture par les parents, journal numérique, publication sur un réseau social…). L’enseignant doit organiser cette collaboration et être garant de l’expression de chacun des élèves.</w:t>
      </w:r>
    </w:p>
    <w:p w:rsidR="00280333" w:rsidRPr="00280333" w:rsidRDefault="00280333" w:rsidP="00280333">
      <w:pPr>
        <w:pStyle w:val="Titre5"/>
        <w:spacing w:before="143" w:after="143" w:line="248" w:lineRule="atLeast"/>
        <w:jc w:val="both"/>
        <w:rPr>
          <w:rFonts w:ascii="Arial Narrow" w:hAnsi="Arial Narrow" w:cs="Helvetica"/>
          <w:color w:val="401B5B"/>
        </w:rPr>
      </w:pPr>
      <w:r w:rsidRPr="00280333">
        <w:rPr>
          <w:rStyle w:val="lev"/>
          <w:rFonts w:ascii="Arial Narrow" w:hAnsi="Arial Narrow" w:cs="Helvetica"/>
          <w:b w:val="0"/>
          <w:bCs w:val="0"/>
          <w:color w:val="401B5B"/>
        </w:rPr>
        <w:t>Des exemples de travail collaboratif</w:t>
      </w:r>
    </w:p>
    <w:p w:rsidR="00280333" w:rsidRPr="00280333" w:rsidRDefault="00280333" w:rsidP="00280333">
      <w:pPr>
        <w:pStyle w:val="Titre5"/>
        <w:spacing w:before="143" w:after="143" w:line="248" w:lineRule="atLeast"/>
        <w:jc w:val="both"/>
        <w:rPr>
          <w:rFonts w:ascii="Arial Narrow" w:hAnsi="Arial Narrow" w:cs="Helvetica"/>
          <w:b/>
          <w:bCs/>
          <w:color w:val="401B5B"/>
        </w:rPr>
      </w:pPr>
      <w:r w:rsidRPr="00280333">
        <w:rPr>
          <w:rFonts w:ascii="Arial Narrow" w:hAnsi="Arial Narrow" w:cs="Helvetica"/>
          <w:b/>
          <w:bCs/>
          <w:color w:val="401B5B"/>
        </w:rPr>
        <w:t>Travail en binôme : un élève peut devenir lecteur du texte de son camarade, afin de lui donner conscience de sa structure et de sa fluidité.</w:t>
      </w:r>
    </w:p>
    <w:p w:rsidR="00280333" w:rsidRPr="00280333" w:rsidRDefault="00280333" w:rsidP="00280333">
      <w:pPr>
        <w:pStyle w:val="Titre5"/>
        <w:spacing w:before="143" w:after="143" w:line="248" w:lineRule="atLeast"/>
        <w:jc w:val="both"/>
        <w:rPr>
          <w:rFonts w:ascii="Arial Narrow" w:hAnsi="Arial Narrow" w:cs="Helvetica"/>
          <w:b/>
          <w:bCs/>
          <w:color w:val="401B5B"/>
        </w:rPr>
      </w:pPr>
      <w:r w:rsidRPr="00280333">
        <w:rPr>
          <w:rFonts w:ascii="Arial Narrow" w:hAnsi="Arial Narrow" w:cs="Helvetica"/>
          <w:b/>
          <w:bCs/>
          <w:color w:val="401B5B"/>
        </w:rPr>
        <w:t>Travail en petits groupes : l’enseignant peut répartir des rôles au sein de chaque groupe : un élève responsable de l’utilisation du dictionnaire, un autre élève chargé du vérificateur de conjugaison…</w:t>
      </w:r>
    </w:p>
    <w:p w:rsidR="00280333" w:rsidRPr="00280333" w:rsidRDefault="00280333" w:rsidP="00280333">
      <w:pPr>
        <w:pStyle w:val="Titre5"/>
        <w:spacing w:before="143" w:after="143" w:line="248" w:lineRule="atLeast"/>
        <w:jc w:val="both"/>
        <w:rPr>
          <w:rFonts w:ascii="Arial Narrow" w:hAnsi="Arial Narrow" w:cs="Helvetica"/>
          <w:b/>
          <w:bCs/>
          <w:color w:val="401B5B"/>
        </w:rPr>
      </w:pPr>
      <w:r w:rsidRPr="00280333">
        <w:rPr>
          <w:rFonts w:ascii="Arial Narrow" w:hAnsi="Arial Narrow" w:cs="Helvetica"/>
          <w:b/>
          <w:bCs/>
          <w:color w:val="401B5B"/>
        </w:rPr>
        <w:t>Travail en classe entière : les élèves peuvent construire, ensemble, le plan d’un récit qu’ils écriront ensuite individuellement.</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9" w:anchor="object6271" w:history="1">
        <w:r w:rsidRPr="00280333">
          <w:rPr>
            <w:rFonts w:ascii="Arial Narrow" w:eastAsia="Times New Roman" w:hAnsi="Arial Narrow" w:cs="Helvetica"/>
            <w:color w:val="FFFFFF"/>
            <w:u w:val="single"/>
            <w:lang w:eastAsia="fr-FR"/>
          </w:rPr>
          <w:t>6. Faire écrire les élèves sur des textes variés et dans toutes les matières</w:t>
        </w:r>
      </w:hyperlink>
      <w:r w:rsidRPr="00280333">
        <w:rPr>
          <w:rFonts w:ascii="Arial Narrow" w:eastAsia="Times New Roman" w:hAnsi="Arial Narrow" w:cs="Helvetica"/>
          <w:color w:val="FFFFFF"/>
          <w:lang w:eastAsia="fr-FR"/>
        </w:rPr>
        <w:t xml:space="preserve"> </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Avant même l’apprentissage de l’écriture et ensuite tout au long de la scolarité, il est possible de présenter aux élèves, à l’oral, des textes de genres variés pour les sensibiliser à leurs propriétés communes et à leurs différences :</w:t>
      </w:r>
      <w:r w:rsidRPr="00280333">
        <w:rPr>
          <w:rStyle w:val="lev"/>
          <w:rFonts w:ascii="Arial Narrow" w:hAnsi="Arial Narrow" w:cs="Calibri"/>
          <w:color w:val="333333"/>
          <w:sz w:val="22"/>
          <w:szCs w:val="22"/>
        </w:rPr>
        <w:t xml:space="preserve"> textes narratifs (contes, albums), informatifs (documentaires), injonctifs (recettes, règles du jeu), argumentatifs (débats « philosophiques ») et poétiques.</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De plus, </w:t>
      </w:r>
      <w:r w:rsidRPr="00280333">
        <w:rPr>
          <w:rStyle w:val="lev"/>
          <w:rFonts w:ascii="Arial Narrow" w:hAnsi="Arial Narrow" w:cs="Calibri"/>
          <w:color w:val="333333"/>
          <w:sz w:val="22"/>
          <w:szCs w:val="22"/>
        </w:rPr>
        <w:t>le travail de l’écrit dans d’autres matières favorise l’acquisition des savoirs dans ces matières</w:t>
      </w:r>
      <w:r w:rsidRPr="00280333">
        <w:rPr>
          <w:rFonts w:ascii="Arial Narrow" w:hAnsi="Arial Narrow" w:cs="Calibri"/>
          <w:color w:val="333333"/>
          <w:sz w:val="22"/>
          <w:szCs w:val="22"/>
        </w:rPr>
        <w:t>, la compréhension de la variété des usages de l’écrit, mais aussi le développement des compétences à l’écrit. Les élèves sont ainsi confrontés à une grande variété de textes (scientifiques, littéraires, historiques…) et comprennent que chaque genre d’écrits a ses propres codes en matière de ton, de lexique… qui varient aussi selon les matières.</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10" w:anchor="object6294" w:history="1">
        <w:r w:rsidRPr="00280333">
          <w:rPr>
            <w:rFonts w:ascii="Arial Narrow" w:eastAsia="Times New Roman" w:hAnsi="Arial Narrow" w:cs="Helvetica"/>
            <w:color w:val="FFFFFF"/>
            <w:u w:val="single"/>
            <w:lang w:eastAsia="fr-FR"/>
          </w:rPr>
          <w:t>7. Équilibrer et articuler l’enseignement de la production de textes avec l’étude de la langue</w:t>
        </w:r>
      </w:hyperlink>
      <w:r w:rsidRPr="00280333">
        <w:rPr>
          <w:rFonts w:ascii="Arial Narrow" w:eastAsia="Times New Roman" w:hAnsi="Arial Narrow" w:cs="Helvetica"/>
          <w:color w:val="FFFFFF"/>
          <w:lang w:eastAsia="fr-FR"/>
        </w:rPr>
        <w:t xml:space="preserve"> </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Les textes écrits des élèves servent souvent pour évaluer la maîtrise de l’orthographe. </w:t>
      </w:r>
      <w:r w:rsidRPr="00280333">
        <w:rPr>
          <w:rStyle w:val="lev"/>
          <w:rFonts w:ascii="Arial Narrow" w:hAnsi="Arial Narrow" w:cs="Calibri"/>
          <w:color w:val="333333"/>
          <w:sz w:val="22"/>
          <w:szCs w:val="22"/>
        </w:rPr>
        <w:t>Il convient d’équilibrer les objectifs pédagogiques en articulant l’enseignement de la production de textes et celui de l’étude de la langue. Aucune de ces deux dimensions ne doit se subordonner à l’autre.</w:t>
      </w:r>
      <w:r w:rsidRPr="00280333">
        <w:rPr>
          <w:rFonts w:ascii="Arial Narrow" w:hAnsi="Arial Narrow" w:cs="Calibri"/>
          <w:color w:val="333333"/>
          <w:sz w:val="22"/>
          <w:szCs w:val="22"/>
        </w:rPr>
        <w:t xml:space="preserve"> Ainsi, dans la production écrite, l’orthographe et la grammaire peuvent être aussi bien travaillées directement sur les textes des élèves qu’indépendamment de ces textes (en prenant appui sur les erreurs commises).</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Il convient également de développer, chez les élèves, une « vigilance linguistique »</w:t>
      </w:r>
      <w:r w:rsidRPr="00280333">
        <w:rPr>
          <w:rFonts w:ascii="Arial Narrow" w:hAnsi="Arial Narrow" w:cs="Calibri"/>
          <w:color w:val="333333"/>
          <w:sz w:val="22"/>
          <w:szCs w:val="22"/>
        </w:rPr>
        <w:t xml:space="preserve"> qui consiste à avoir une attitude réflexive, d’observation et de curiosité à l’égard de la langue et de son fonctionnement, et à susciter leur questionnement.</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Enfin, il n’est pas pertinent de faire mémoriser aux élèves des mots sortis de leur contexte.</w:t>
      </w:r>
      <w:r w:rsidRPr="00280333">
        <w:rPr>
          <w:rFonts w:ascii="Arial Narrow" w:hAnsi="Arial Narrow" w:cs="Calibri"/>
          <w:color w:val="333333"/>
          <w:sz w:val="22"/>
          <w:szCs w:val="22"/>
        </w:rPr>
        <w:t xml:space="preserve"> L’enrichissement du lexique se fonde sur la construction de réseaux lexicaux contextualisés (mots de la même famille, synonymes, mots régulièrement associés…).</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11" w:anchor="object6317" w:history="1">
        <w:r w:rsidRPr="00280333">
          <w:rPr>
            <w:rFonts w:ascii="Arial Narrow" w:eastAsia="Times New Roman" w:hAnsi="Arial Narrow" w:cs="Helvetica"/>
            <w:color w:val="FFFFFF"/>
            <w:u w:val="single"/>
            <w:lang w:eastAsia="fr-FR"/>
          </w:rPr>
          <w:t>8. Exploiter le numérique dans les séquences pédagogiques liées à l’activité d’écriture</w:t>
        </w:r>
      </w:hyperlink>
      <w:r w:rsidRPr="00280333">
        <w:rPr>
          <w:rFonts w:ascii="Arial Narrow" w:eastAsia="Times New Roman" w:hAnsi="Arial Narrow" w:cs="Helvetica"/>
          <w:color w:val="FFFFFF"/>
          <w:lang w:eastAsia="fr-FR"/>
        </w:rPr>
        <w:t xml:space="preserve"> </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Il apparait important de se concentrer sur les usages pédagogiques des outils numériques, plutôt que sur les outils eux-mêmes</w:t>
      </w:r>
      <w:r w:rsidRPr="00280333">
        <w:rPr>
          <w:rFonts w:ascii="Arial Narrow" w:hAnsi="Arial Narrow" w:cs="Calibri"/>
          <w:color w:val="333333"/>
          <w:sz w:val="22"/>
          <w:szCs w:val="22"/>
        </w:rPr>
        <w:t>, et sur le rôle de l’enseignant dans le cadre de ces usages.</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Ainsi, </w:t>
      </w:r>
      <w:r w:rsidRPr="00280333">
        <w:rPr>
          <w:rStyle w:val="lev"/>
          <w:rFonts w:ascii="Arial Narrow" w:hAnsi="Arial Narrow" w:cs="Calibri"/>
          <w:color w:val="333333"/>
          <w:sz w:val="22"/>
          <w:szCs w:val="22"/>
        </w:rPr>
        <w:t>l’utilisation des logiciels de traitement de textes a des effets positifs</w:t>
      </w:r>
      <w:r w:rsidRPr="00280333">
        <w:rPr>
          <w:rFonts w:ascii="Arial Narrow" w:hAnsi="Arial Narrow" w:cs="Calibri"/>
          <w:color w:val="333333"/>
          <w:sz w:val="22"/>
          <w:szCs w:val="22"/>
        </w:rPr>
        <w:t xml:space="preserve"> sur la qualité de la préparation et de la structuration des textes. Mais </w:t>
      </w:r>
      <w:r w:rsidRPr="00280333">
        <w:rPr>
          <w:rStyle w:val="lev"/>
          <w:rFonts w:ascii="Arial Narrow" w:hAnsi="Arial Narrow" w:cs="Calibri"/>
          <w:color w:val="333333"/>
          <w:sz w:val="22"/>
          <w:szCs w:val="22"/>
        </w:rPr>
        <w:t>des recherches doivent être conduites, dans des contextes scolaires</w:t>
      </w:r>
      <w:r w:rsidRPr="00280333">
        <w:rPr>
          <w:rFonts w:ascii="Arial Narrow" w:hAnsi="Arial Narrow" w:cs="Calibri"/>
          <w:color w:val="333333"/>
          <w:sz w:val="22"/>
          <w:szCs w:val="22"/>
        </w:rPr>
        <w:t>, afin d’identifier précisément les processus d’apprentissages et la nature des scénarios pédagogiques liés à cet usage.</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De même, il est nécessaire que le ministère de l’Éducation nationale, en lien avec les chercheurs et les enseignants, développe à plus grande échelle </w:t>
      </w:r>
      <w:r w:rsidRPr="00280333">
        <w:rPr>
          <w:rStyle w:val="lev"/>
          <w:rFonts w:ascii="Arial Narrow" w:hAnsi="Arial Narrow" w:cs="Calibri"/>
          <w:color w:val="333333"/>
          <w:sz w:val="22"/>
          <w:szCs w:val="22"/>
        </w:rPr>
        <w:t>des démarches de recherche-action portant sur des pratiques et des dispositifs d’écriture liés au numérique</w:t>
      </w:r>
      <w:r w:rsidRPr="00280333">
        <w:rPr>
          <w:rFonts w:ascii="Arial Narrow" w:hAnsi="Arial Narrow" w:cs="Calibri"/>
          <w:color w:val="333333"/>
          <w:sz w:val="22"/>
          <w:szCs w:val="22"/>
        </w:rPr>
        <w:t>.</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12" w:anchor="object6340" w:history="1">
        <w:r w:rsidRPr="00280333">
          <w:rPr>
            <w:rFonts w:ascii="Arial Narrow" w:eastAsia="Times New Roman" w:hAnsi="Arial Narrow" w:cs="Helvetica"/>
            <w:color w:val="FFFFFF"/>
            <w:u w:val="single"/>
            <w:lang w:eastAsia="fr-FR"/>
          </w:rPr>
          <w:t>9. Exploiter les pratiques d’écriture des élèves à la maison</w:t>
        </w:r>
      </w:hyperlink>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Style w:val="lev"/>
          <w:rFonts w:ascii="Arial Narrow" w:hAnsi="Arial Narrow" w:cs="Calibri"/>
          <w:color w:val="333333"/>
          <w:sz w:val="22"/>
          <w:szCs w:val="22"/>
        </w:rPr>
        <w:t>Il est intéressant que l’enfant commence à écrire dans le cadre familial, dès le plus jeune âge</w:t>
      </w:r>
      <w:r w:rsidRPr="00280333">
        <w:rPr>
          <w:rFonts w:ascii="Arial Narrow" w:hAnsi="Arial Narrow" w:cs="Calibri"/>
          <w:color w:val="333333"/>
          <w:sz w:val="22"/>
          <w:szCs w:val="22"/>
        </w:rPr>
        <w:t>. Les professionnels peuvent accompagner les parents dans ces pratiques, particulièrement lorsque le français n’est pas leur langue maternelle.</w:t>
      </w:r>
    </w:p>
    <w:p w:rsidR="00280333" w:rsidRPr="00280333" w:rsidRDefault="00280333" w:rsidP="00280333">
      <w:pPr>
        <w:pStyle w:val="NormalWeb"/>
        <w:spacing w:before="0" w:beforeAutospacing="0" w:after="143" w:afterAutospacing="0"/>
        <w:jc w:val="both"/>
        <w:rPr>
          <w:rFonts w:ascii="Arial Narrow" w:hAnsi="Arial Narrow" w:cs="Calibri"/>
          <w:color w:val="333333"/>
          <w:sz w:val="22"/>
          <w:szCs w:val="22"/>
        </w:rPr>
      </w:pPr>
      <w:r w:rsidRPr="00280333">
        <w:rPr>
          <w:rFonts w:ascii="Arial Narrow" w:hAnsi="Arial Narrow" w:cs="Calibri"/>
          <w:color w:val="333333"/>
          <w:sz w:val="22"/>
          <w:szCs w:val="22"/>
        </w:rPr>
        <w:t xml:space="preserve">De plus, </w:t>
      </w:r>
      <w:r w:rsidRPr="00280333">
        <w:rPr>
          <w:rStyle w:val="lev"/>
          <w:rFonts w:ascii="Arial Narrow" w:hAnsi="Arial Narrow" w:cs="Calibri"/>
          <w:color w:val="333333"/>
          <w:sz w:val="22"/>
          <w:szCs w:val="22"/>
        </w:rPr>
        <w:t>les pratiques d’écriture des élèves hors de la classe, notamment sur les réseaux sociaux et par SMS, peuvent servir de support pour l’enseignement</w:t>
      </w:r>
      <w:r w:rsidRPr="00280333">
        <w:rPr>
          <w:rFonts w:ascii="Arial Narrow" w:hAnsi="Arial Narrow" w:cs="Calibri"/>
          <w:color w:val="333333"/>
          <w:sz w:val="22"/>
          <w:szCs w:val="22"/>
        </w:rPr>
        <w:t>, sans stigmatiser ces écrits ni les hiérarchiser vis-à-vis des productions écrites à l’</w:t>
      </w:r>
      <w:proofErr w:type="spellStart"/>
      <w:r w:rsidRPr="00280333">
        <w:rPr>
          <w:rFonts w:ascii="Arial Narrow" w:hAnsi="Arial Narrow" w:cs="Calibri"/>
          <w:color w:val="333333"/>
          <w:sz w:val="22"/>
          <w:szCs w:val="22"/>
        </w:rPr>
        <w:t>écol</w:t>
      </w:r>
      <w:proofErr w:type="spellEnd"/>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hyperlink r:id="rId13" w:anchor="object6363" w:history="1">
        <w:r w:rsidRPr="00280333">
          <w:rPr>
            <w:rFonts w:ascii="Arial Narrow" w:eastAsia="Times New Roman" w:hAnsi="Arial Narrow" w:cs="Helvetica"/>
            <w:color w:val="FFFFFF"/>
            <w:u w:val="single"/>
            <w:lang w:eastAsia="fr-FR"/>
          </w:rPr>
          <w:t>10. Former tous les enseignants</w:t>
        </w:r>
      </w:hyperlink>
      <w:r w:rsidRPr="00280333">
        <w:rPr>
          <w:rFonts w:ascii="Arial Narrow" w:eastAsia="Times New Roman" w:hAnsi="Arial Narrow" w:cs="Helvetica"/>
          <w:color w:val="FFFFFF"/>
          <w:lang w:eastAsia="fr-FR"/>
        </w:rPr>
        <w:t xml:space="preserve"> </w:t>
      </w:r>
    </w:p>
    <w:p w:rsidR="00280333" w:rsidRPr="00280333" w:rsidRDefault="00280333" w:rsidP="00280333">
      <w:pPr>
        <w:spacing w:after="143" w:line="240" w:lineRule="auto"/>
        <w:jc w:val="both"/>
        <w:rPr>
          <w:rFonts w:ascii="Arial Narrow" w:eastAsia="Times New Roman" w:hAnsi="Arial Narrow" w:cs="Calibri"/>
          <w:color w:val="333333"/>
          <w:lang w:eastAsia="fr-FR"/>
        </w:rPr>
      </w:pPr>
      <w:r w:rsidRPr="00280333">
        <w:rPr>
          <w:rFonts w:ascii="Arial Narrow" w:eastAsia="Times New Roman" w:hAnsi="Arial Narrow" w:cs="Calibri"/>
          <w:color w:val="333333"/>
          <w:lang w:eastAsia="fr-FR"/>
        </w:rPr>
        <w:t>La formation doit soutenir les enseignants pour leur permettre de prendre en compte ces recommandations et de mettre en œuvre les programmes scolaires dans leurs pratiques quotidiennes.</w:t>
      </w:r>
    </w:p>
    <w:p w:rsidR="00280333" w:rsidRPr="00280333" w:rsidRDefault="00280333" w:rsidP="00280333">
      <w:pPr>
        <w:spacing w:after="143" w:line="240" w:lineRule="auto"/>
        <w:jc w:val="both"/>
        <w:rPr>
          <w:rFonts w:ascii="Arial Narrow" w:eastAsia="Times New Roman" w:hAnsi="Arial Narrow" w:cs="Calibri"/>
          <w:color w:val="333333"/>
          <w:lang w:eastAsia="fr-FR"/>
        </w:rPr>
      </w:pPr>
      <w:r w:rsidRPr="00280333">
        <w:rPr>
          <w:rFonts w:ascii="Arial Narrow" w:eastAsia="Times New Roman" w:hAnsi="Arial Narrow" w:cs="Calibri"/>
          <w:b/>
          <w:bCs/>
          <w:color w:val="333333"/>
          <w:lang w:eastAsia="fr-FR"/>
        </w:rPr>
        <w:t>Tous les enseignants, et non pas seulement les professeurs de français, ont besoin de comprendre comment les élèves apprennent l’écrit et de transmettre les particularités de la production de textes dans leurs matières.</w:t>
      </w:r>
    </w:p>
    <w:p w:rsidR="00280333" w:rsidRPr="00280333" w:rsidRDefault="00280333" w:rsidP="00280333">
      <w:pPr>
        <w:numPr>
          <w:ilvl w:val="0"/>
          <w:numId w:val="1"/>
        </w:numPr>
        <w:spacing w:after="143" w:line="240" w:lineRule="auto"/>
        <w:jc w:val="both"/>
        <w:rPr>
          <w:rFonts w:ascii="Arial Narrow" w:eastAsia="Times New Roman" w:hAnsi="Arial Narrow" w:cs="Calibri"/>
          <w:color w:val="333333"/>
          <w:lang w:eastAsia="fr-FR"/>
        </w:rPr>
      </w:pPr>
      <w:r w:rsidRPr="00280333">
        <w:rPr>
          <w:rFonts w:ascii="Arial Narrow" w:eastAsia="Times New Roman" w:hAnsi="Arial Narrow" w:cs="Calibri"/>
          <w:color w:val="333333"/>
          <w:lang w:eastAsia="fr-FR"/>
        </w:rPr>
        <w:lastRenderedPageBreak/>
        <w:t>Au primaire, la formation des enseignants doit les rendre capables d’enseigner explicitement le fonctionnement des différents écrits disciplinaires.</w:t>
      </w:r>
    </w:p>
    <w:p w:rsidR="00280333" w:rsidRPr="00280333" w:rsidRDefault="00280333" w:rsidP="00280333">
      <w:pPr>
        <w:numPr>
          <w:ilvl w:val="0"/>
          <w:numId w:val="1"/>
        </w:numPr>
        <w:spacing w:after="143" w:line="240" w:lineRule="auto"/>
        <w:jc w:val="both"/>
        <w:rPr>
          <w:rFonts w:ascii="Arial Narrow" w:eastAsia="Times New Roman" w:hAnsi="Arial Narrow" w:cs="Calibri"/>
          <w:color w:val="333333"/>
          <w:lang w:eastAsia="fr-FR"/>
        </w:rPr>
      </w:pPr>
      <w:r w:rsidRPr="00280333">
        <w:rPr>
          <w:rFonts w:ascii="Arial Narrow" w:eastAsia="Times New Roman" w:hAnsi="Arial Narrow" w:cs="Calibri"/>
          <w:color w:val="333333"/>
          <w:lang w:eastAsia="fr-FR"/>
        </w:rPr>
        <w:t>Dans le secondaire, la formation doit permettre aux enseignants d’intégrer l’écrit dans leur pratique disciplinaire.</w:t>
      </w:r>
    </w:p>
    <w:p w:rsidR="00280333" w:rsidRPr="00280333" w:rsidRDefault="00280333" w:rsidP="00280333">
      <w:pPr>
        <w:spacing w:after="143" w:line="240" w:lineRule="auto"/>
        <w:jc w:val="both"/>
        <w:rPr>
          <w:rFonts w:ascii="Arial Narrow" w:eastAsia="Times New Roman" w:hAnsi="Arial Narrow" w:cs="Calibri"/>
          <w:color w:val="333333"/>
          <w:lang w:eastAsia="fr-FR"/>
        </w:rPr>
      </w:pPr>
      <w:r w:rsidRPr="00280333">
        <w:rPr>
          <w:rFonts w:ascii="Arial Narrow" w:eastAsia="Times New Roman" w:hAnsi="Arial Narrow" w:cs="Calibri"/>
          <w:color w:val="333333"/>
          <w:lang w:eastAsia="fr-FR"/>
        </w:rPr>
        <w:t>La formation doit également se concentrer sur les différentes postures pédagogiques à tenir quand les élèves sont en situation d’écrire et à réfléchir à la possibilité de suspendre, parfois, un jugement normatif. Elle doit aussi donner aux enseignants les moyens d’amener les élèves à apprendre à relire leurs écrits.</w:t>
      </w:r>
    </w:p>
    <w:p w:rsidR="00280333" w:rsidRPr="00280333" w:rsidRDefault="00280333" w:rsidP="00280333">
      <w:pPr>
        <w:spacing w:after="143" w:line="240" w:lineRule="auto"/>
        <w:jc w:val="both"/>
        <w:rPr>
          <w:rFonts w:ascii="Arial Narrow" w:eastAsia="Times New Roman" w:hAnsi="Arial Narrow" w:cs="Calibri"/>
          <w:color w:val="333333"/>
          <w:lang w:eastAsia="fr-FR"/>
        </w:rPr>
      </w:pPr>
      <w:r w:rsidRPr="00280333">
        <w:rPr>
          <w:rFonts w:ascii="Arial Narrow" w:eastAsia="Times New Roman" w:hAnsi="Arial Narrow" w:cs="Calibri"/>
          <w:color w:val="333333"/>
          <w:lang w:eastAsia="fr-FR"/>
        </w:rPr>
        <w:t xml:space="preserve">Enfin, il est </w:t>
      </w:r>
      <w:r w:rsidRPr="00280333">
        <w:rPr>
          <w:rFonts w:ascii="Arial Narrow" w:eastAsia="Times New Roman" w:hAnsi="Arial Narrow" w:cs="Calibri"/>
          <w:b/>
          <w:bCs/>
          <w:color w:val="333333"/>
          <w:lang w:eastAsia="fr-FR"/>
        </w:rPr>
        <w:t>indispensable de faire évoluer et d’amplifier la formation initiale et continue pour développer l’acculturation des enseignants au numérique et à ses évolutions</w:t>
      </w:r>
      <w:r w:rsidRPr="00280333">
        <w:rPr>
          <w:rFonts w:ascii="Arial Narrow" w:eastAsia="Times New Roman" w:hAnsi="Arial Narrow" w:cs="Calibri"/>
          <w:color w:val="333333"/>
          <w:lang w:eastAsia="fr-FR"/>
        </w:rPr>
        <w:t>. Elle doit leur permettre de se saisir des possibilités qu’offre le numérique pour enseigner la production écrite.</w:t>
      </w:r>
    </w:p>
    <w:p w:rsidR="00280333" w:rsidRPr="00280333" w:rsidRDefault="00280333" w:rsidP="00280333">
      <w:pPr>
        <w:shd w:val="clear" w:color="auto" w:fill="555555"/>
        <w:spacing w:after="0" w:line="281" w:lineRule="atLeast"/>
        <w:outlineLvl w:val="2"/>
        <w:rPr>
          <w:rFonts w:ascii="Arial Narrow" w:eastAsia="Times New Roman" w:hAnsi="Arial Narrow" w:cs="Helvetica"/>
          <w:color w:val="FFFFFF"/>
          <w:lang w:eastAsia="fr-FR"/>
        </w:rPr>
      </w:pPr>
    </w:p>
    <w:p w:rsidR="006E47D1" w:rsidRPr="00280333" w:rsidRDefault="006E47D1">
      <w:pPr>
        <w:rPr>
          <w:rFonts w:ascii="Arial Narrow" w:hAnsi="Arial Narrow"/>
        </w:rPr>
      </w:pPr>
    </w:p>
    <w:sectPr w:rsidR="006E47D1" w:rsidRPr="00280333" w:rsidSect="00DD6CF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57DB9"/>
    <w:multiLevelType w:val="multilevel"/>
    <w:tmpl w:val="FC54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33"/>
    <w:rsid w:val="00280333"/>
    <w:rsid w:val="006E47D1"/>
    <w:rsid w:val="00DD6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24CB"/>
  <w15:chartTrackingRefBased/>
  <w15:docId w15:val="{F93E85F2-1841-4218-AC6A-7808D2E1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8033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8033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28033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033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8033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803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0333"/>
    <w:rPr>
      <w:b/>
      <w:bCs/>
    </w:rPr>
  </w:style>
  <w:style w:type="character" w:styleId="Lienhypertexte">
    <w:name w:val="Hyperlink"/>
    <w:basedOn w:val="Policepardfaut"/>
    <w:uiPriority w:val="99"/>
    <w:semiHidden/>
    <w:unhideWhenUsed/>
    <w:rsid w:val="00280333"/>
    <w:rPr>
      <w:color w:val="0000FF"/>
      <w:u w:val="single"/>
    </w:rPr>
  </w:style>
  <w:style w:type="paragraph" w:styleId="Paragraphedeliste">
    <w:name w:val="List Paragraph"/>
    <w:basedOn w:val="Normal"/>
    <w:uiPriority w:val="34"/>
    <w:qFormat/>
    <w:rsid w:val="00280333"/>
    <w:pPr>
      <w:ind w:left="720"/>
      <w:contextualSpacing/>
    </w:pPr>
  </w:style>
  <w:style w:type="character" w:customStyle="1" w:styleId="Titre5Car">
    <w:name w:val="Titre 5 Car"/>
    <w:basedOn w:val="Policepardfaut"/>
    <w:link w:val="Titre5"/>
    <w:uiPriority w:val="9"/>
    <w:semiHidden/>
    <w:rsid w:val="0028033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452">
      <w:bodyDiv w:val="1"/>
      <w:marLeft w:val="0"/>
      <w:marRight w:val="0"/>
      <w:marTop w:val="0"/>
      <w:marBottom w:val="0"/>
      <w:divBdr>
        <w:top w:val="none" w:sz="0" w:space="0" w:color="auto"/>
        <w:left w:val="none" w:sz="0" w:space="0" w:color="auto"/>
        <w:bottom w:val="none" w:sz="0" w:space="0" w:color="auto"/>
        <w:right w:val="none" w:sz="0" w:space="0" w:color="auto"/>
      </w:divBdr>
      <w:divsChild>
        <w:div w:id="997458167">
          <w:marLeft w:val="0"/>
          <w:marRight w:val="0"/>
          <w:marTop w:val="0"/>
          <w:marBottom w:val="285"/>
          <w:divBdr>
            <w:top w:val="none" w:sz="0" w:space="0" w:color="auto"/>
            <w:left w:val="none" w:sz="0" w:space="0" w:color="auto"/>
            <w:bottom w:val="none" w:sz="0" w:space="0" w:color="auto"/>
            <w:right w:val="none" w:sz="0" w:space="0" w:color="auto"/>
          </w:divBdr>
          <w:divsChild>
            <w:div w:id="1496459502">
              <w:marLeft w:val="0"/>
              <w:marRight w:val="0"/>
              <w:marTop w:val="0"/>
              <w:marBottom w:val="0"/>
              <w:divBdr>
                <w:top w:val="single" w:sz="6" w:space="0" w:color="555555"/>
                <w:left w:val="single" w:sz="6" w:space="0" w:color="555555"/>
                <w:bottom w:val="single" w:sz="6" w:space="0" w:color="555555"/>
                <w:right w:val="single" w:sz="6" w:space="0" w:color="555555"/>
              </w:divBdr>
              <w:divsChild>
                <w:div w:id="1303848041">
                  <w:marLeft w:val="0"/>
                  <w:marRight w:val="0"/>
                  <w:marTop w:val="0"/>
                  <w:marBottom w:val="0"/>
                  <w:divBdr>
                    <w:top w:val="none" w:sz="0" w:space="8" w:color="555555"/>
                    <w:left w:val="none" w:sz="0" w:space="11" w:color="555555"/>
                    <w:bottom w:val="none" w:sz="0" w:space="0" w:color="auto"/>
                    <w:right w:val="none" w:sz="0" w:space="11" w:color="555555"/>
                  </w:divBdr>
                </w:div>
              </w:divsChild>
            </w:div>
            <w:div w:id="1667201720">
              <w:marLeft w:val="0"/>
              <w:marRight w:val="0"/>
              <w:marTop w:val="75"/>
              <w:marBottom w:val="0"/>
              <w:divBdr>
                <w:top w:val="single" w:sz="6" w:space="0" w:color="555555"/>
                <w:left w:val="single" w:sz="6" w:space="0" w:color="555555"/>
                <w:bottom w:val="single" w:sz="6" w:space="0" w:color="555555"/>
                <w:right w:val="single" w:sz="6" w:space="0" w:color="555555"/>
              </w:divBdr>
              <w:divsChild>
                <w:div w:id="1208765131">
                  <w:marLeft w:val="0"/>
                  <w:marRight w:val="0"/>
                  <w:marTop w:val="0"/>
                  <w:marBottom w:val="0"/>
                  <w:divBdr>
                    <w:top w:val="none" w:sz="0" w:space="8" w:color="555555"/>
                    <w:left w:val="none" w:sz="0" w:space="11" w:color="555555"/>
                    <w:bottom w:val="none" w:sz="0" w:space="0" w:color="auto"/>
                    <w:right w:val="none" w:sz="0" w:space="11" w:color="555555"/>
                  </w:divBdr>
                </w:div>
              </w:divsChild>
            </w:div>
            <w:div w:id="685640923">
              <w:marLeft w:val="0"/>
              <w:marRight w:val="0"/>
              <w:marTop w:val="75"/>
              <w:marBottom w:val="0"/>
              <w:divBdr>
                <w:top w:val="single" w:sz="6" w:space="0" w:color="555555"/>
                <w:left w:val="single" w:sz="6" w:space="0" w:color="555555"/>
                <w:bottom w:val="single" w:sz="6" w:space="0" w:color="555555"/>
                <w:right w:val="single" w:sz="6" w:space="0" w:color="555555"/>
              </w:divBdr>
              <w:divsChild>
                <w:div w:id="19938756">
                  <w:marLeft w:val="0"/>
                  <w:marRight w:val="0"/>
                  <w:marTop w:val="0"/>
                  <w:marBottom w:val="0"/>
                  <w:divBdr>
                    <w:top w:val="none" w:sz="0" w:space="8" w:color="555555"/>
                    <w:left w:val="none" w:sz="0" w:space="11" w:color="555555"/>
                    <w:bottom w:val="none" w:sz="0" w:space="0" w:color="auto"/>
                    <w:right w:val="none" w:sz="0" w:space="11" w:color="555555"/>
                  </w:divBdr>
                </w:div>
              </w:divsChild>
            </w:div>
            <w:div w:id="679964096">
              <w:marLeft w:val="0"/>
              <w:marRight w:val="0"/>
              <w:marTop w:val="75"/>
              <w:marBottom w:val="0"/>
              <w:divBdr>
                <w:top w:val="single" w:sz="6" w:space="0" w:color="555555"/>
                <w:left w:val="single" w:sz="6" w:space="0" w:color="555555"/>
                <w:bottom w:val="single" w:sz="6" w:space="0" w:color="555555"/>
                <w:right w:val="single" w:sz="6" w:space="0" w:color="555555"/>
              </w:divBdr>
              <w:divsChild>
                <w:div w:id="964458575">
                  <w:marLeft w:val="0"/>
                  <w:marRight w:val="0"/>
                  <w:marTop w:val="0"/>
                  <w:marBottom w:val="0"/>
                  <w:divBdr>
                    <w:top w:val="none" w:sz="0" w:space="8" w:color="555555"/>
                    <w:left w:val="none" w:sz="0" w:space="11" w:color="555555"/>
                    <w:bottom w:val="none" w:sz="0" w:space="0" w:color="auto"/>
                    <w:right w:val="none" w:sz="0" w:space="11" w:color="555555"/>
                  </w:divBdr>
                </w:div>
              </w:divsChild>
            </w:div>
            <w:div w:id="1848514723">
              <w:marLeft w:val="0"/>
              <w:marRight w:val="0"/>
              <w:marTop w:val="75"/>
              <w:marBottom w:val="0"/>
              <w:divBdr>
                <w:top w:val="single" w:sz="6" w:space="0" w:color="555555"/>
                <w:left w:val="single" w:sz="6" w:space="0" w:color="555555"/>
                <w:bottom w:val="single" w:sz="6" w:space="0" w:color="555555"/>
                <w:right w:val="single" w:sz="6" w:space="0" w:color="555555"/>
              </w:divBdr>
              <w:divsChild>
                <w:div w:id="244605988">
                  <w:marLeft w:val="0"/>
                  <w:marRight w:val="0"/>
                  <w:marTop w:val="0"/>
                  <w:marBottom w:val="0"/>
                  <w:divBdr>
                    <w:top w:val="none" w:sz="0" w:space="8" w:color="555555"/>
                    <w:left w:val="none" w:sz="0" w:space="11" w:color="555555"/>
                    <w:bottom w:val="none" w:sz="0" w:space="0" w:color="auto"/>
                    <w:right w:val="none" w:sz="0" w:space="11" w:color="555555"/>
                  </w:divBdr>
                </w:div>
              </w:divsChild>
            </w:div>
            <w:div w:id="887037224">
              <w:marLeft w:val="0"/>
              <w:marRight w:val="0"/>
              <w:marTop w:val="75"/>
              <w:marBottom w:val="0"/>
              <w:divBdr>
                <w:top w:val="single" w:sz="6" w:space="0" w:color="555555"/>
                <w:left w:val="single" w:sz="6" w:space="0" w:color="555555"/>
                <w:bottom w:val="single" w:sz="6" w:space="0" w:color="555555"/>
                <w:right w:val="single" w:sz="6" w:space="0" w:color="555555"/>
              </w:divBdr>
              <w:divsChild>
                <w:div w:id="1082096833">
                  <w:marLeft w:val="0"/>
                  <w:marRight w:val="0"/>
                  <w:marTop w:val="0"/>
                  <w:marBottom w:val="0"/>
                  <w:divBdr>
                    <w:top w:val="none" w:sz="0" w:space="8" w:color="555555"/>
                    <w:left w:val="none" w:sz="0" w:space="11" w:color="555555"/>
                    <w:bottom w:val="none" w:sz="0" w:space="0" w:color="auto"/>
                    <w:right w:val="none" w:sz="0" w:space="11" w:color="555555"/>
                  </w:divBdr>
                </w:div>
              </w:divsChild>
            </w:div>
            <w:div w:id="1186868395">
              <w:marLeft w:val="0"/>
              <w:marRight w:val="0"/>
              <w:marTop w:val="75"/>
              <w:marBottom w:val="0"/>
              <w:divBdr>
                <w:top w:val="single" w:sz="6" w:space="0" w:color="555555"/>
                <w:left w:val="single" w:sz="6" w:space="0" w:color="555555"/>
                <w:bottom w:val="single" w:sz="6" w:space="0" w:color="555555"/>
                <w:right w:val="single" w:sz="6" w:space="0" w:color="555555"/>
              </w:divBdr>
              <w:divsChild>
                <w:div w:id="387651911">
                  <w:marLeft w:val="0"/>
                  <w:marRight w:val="0"/>
                  <w:marTop w:val="0"/>
                  <w:marBottom w:val="0"/>
                  <w:divBdr>
                    <w:top w:val="none" w:sz="0" w:space="8" w:color="555555"/>
                    <w:left w:val="none" w:sz="0" w:space="11" w:color="555555"/>
                    <w:bottom w:val="none" w:sz="0" w:space="0" w:color="auto"/>
                    <w:right w:val="none" w:sz="0" w:space="11" w:color="555555"/>
                  </w:divBdr>
                </w:div>
              </w:divsChild>
            </w:div>
            <w:div w:id="1963803951">
              <w:marLeft w:val="0"/>
              <w:marRight w:val="0"/>
              <w:marTop w:val="75"/>
              <w:marBottom w:val="0"/>
              <w:divBdr>
                <w:top w:val="single" w:sz="6" w:space="0" w:color="555555"/>
                <w:left w:val="single" w:sz="6" w:space="0" w:color="555555"/>
                <w:bottom w:val="single" w:sz="6" w:space="0" w:color="555555"/>
                <w:right w:val="single" w:sz="6" w:space="0" w:color="555555"/>
              </w:divBdr>
              <w:divsChild>
                <w:div w:id="642319493">
                  <w:marLeft w:val="0"/>
                  <w:marRight w:val="0"/>
                  <w:marTop w:val="0"/>
                  <w:marBottom w:val="0"/>
                  <w:divBdr>
                    <w:top w:val="none" w:sz="0" w:space="8" w:color="555555"/>
                    <w:left w:val="none" w:sz="0" w:space="11" w:color="555555"/>
                    <w:bottom w:val="none" w:sz="0" w:space="0" w:color="auto"/>
                    <w:right w:val="none" w:sz="0" w:space="11" w:color="555555"/>
                  </w:divBdr>
                </w:div>
              </w:divsChild>
            </w:div>
            <w:div w:id="366223728">
              <w:marLeft w:val="0"/>
              <w:marRight w:val="0"/>
              <w:marTop w:val="75"/>
              <w:marBottom w:val="0"/>
              <w:divBdr>
                <w:top w:val="single" w:sz="6" w:space="0" w:color="555555"/>
                <w:left w:val="single" w:sz="6" w:space="0" w:color="555555"/>
                <w:bottom w:val="single" w:sz="6" w:space="0" w:color="555555"/>
                <w:right w:val="single" w:sz="6" w:space="0" w:color="555555"/>
              </w:divBdr>
              <w:divsChild>
                <w:div w:id="1043141984">
                  <w:marLeft w:val="0"/>
                  <w:marRight w:val="0"/>
                  <w:marTop w:val="0"/>
                  <w:marBottom w:val="0"/>
                  <w:divBdr>
                    <w:top w:val="none" w:sz="0" w:space="8" w:color="555555"/>
                    <w:left w:val="none" w:sz="0" w:space="11" w:color="555555"/>
                    <w:bottom w:val="none" w:sz="0" w:space="0" w:color="auto"/>
                    <w:right w:val="none" w:sz="0" w:space="11" w:color="555555"/>
                  </w:divBdr>
                </w:div>
              </w:divsChild>
            </w:div>
            <w:div w:id="1785073016">
              <w:marLeft w:val="0"/>
              <w:marRight w:val="0"/>
              <w:marTop w:val="75"/>
              <w:marBottom w:val="0"/>
              <w:divBdr>
                <w:top w:val="single" w:sz="6" w:space="0" w:color="555555"/>
                <w:left w:val="single" w:sz="6" w:space="0" w:color="555555"/>
                <w:bottom w:val="single" w:sz="6" w:space="0" w:color="555555"/>
                <w:right w:val="single" w:sz="6" w:space="0" w:color="555555"/>
              </w:divBdr>
              <w:divsChild>
                <w:div w:id="1461801502">
                  <w:marLeft w:val="0"/>
                  <w:marRight w:val="0"/>
                  <w:marTop w:val="0"/>
                  <w:marBottom w:val="0"/>
                  <w:divBdr>
                    <w:top w:val="none" w:sz="0" w:space="8" w:color="555555"/>
                    <w:left w:val="none" w:sz="0" w:space="11" w:color="555555"/>
                    <w:bottom w:val="none" w:sz="0" w:space="0" w:color="auto"/>
                    <w:right w:val="none" w:sz="0" w:space="11" w:color="555555"/>
                  </w:divBdr>
                </w:div>
              </w:divsChild>
            </w:div>
          </w:divsChild>
        </w:div>
      </w:divsChild>
    </w:div>
    <w:div w:id="582301578">
      <w:bodyDiv w:val="1"/>
      <w:marLeft w:val="0"/>
      <w:marRight w:val="0"/>
      <w:marTop w:val="0"/>
      <w:marBottom w:val="0"/>
      <w:divBdr>
        <w:top w:val="none" w:sz="0" w:space="0" w:color="auto"/>
        <w:left w:val="none" w:sz="0" w:space="0" w:color="auto"/>
        <w:bottom w:val="none" w:sz="0" w:space="0" w:color="auto"/>
        <w:right w:val="none" w:sz="0" w:space="0" w:color="auto"/>
      </w:divBdr>
    </w:div>
    <w:div w:id="704253845">
      <w:bodyDiv w:val="1"/>
      <w:marLeft w:val="0"/>
      <w:marRight w:val="0"/>
      <w:marTop w:val="0"/>
      <w:marBottom w:val="0"/>
      <w:divBdr>
        <w:top w:val="none" w:sz="0" w:space="0" w:color="auto"/>
        <w:left w:val="none" w:sz="0" w:space="0" w:color="auto"/>
        <w:bottom w:val="none" w:sz="0" w:space="0" w:color="auto"/>
        <w:right w:val="none" w:sz="0" w:space="0" w:color="auto"/>
      </w:divBdr>
    </w:div>
    <w:div w:id="812795418">
      <w:bodyDiv w:val="1"/>
      <w:marLeft w:val="0"/>
      <w:marRight w:val="0"/>
      <w:marTop w:val="0"/>
      <w:marBottom w:val="0"/>
      <w:divBdr>
        <w:top w:val="none" w:sz="0" w:space="0" w:color="auto"/>
        <w:left w:val="none" w:sz="0" w:space="0" w:color="auto"/>
        <w:bottom w:val="none" w:sz="0" w:space="0" w:color="auto"/>
        <w:right w:val="none" w:sz="0" w:space="0" w:color="auto"/>
      </w:divBdr>
    </w:div>
    <w:div w:id="827357449">
      <w:bodyDiv w:val="1"/>
      <w:marLeft w:val="0"/>
      <w:marRight w:val="0"/>
      <w:marTop w:val="0"/>
      <w:marBottom w:val="0"/>
      <w:divBdr>
        <w:top w:val="none" w:sz="0" w:space="0" w:color="auto"/>
        <w:left w:val="none" w:sz="0" w:space="0" w:color="auto"/>
        <w:bottom w:val="none" w:sz="0" w:space="0" w:color="auto"/>
        <w:right w:val="none" w:sz="0" w:space="0" w:color="auto"/>
      </w:divBdr>
    </w:div>
    <w:div w:id="1468015315">
      <w:bodyDiv w:val="1"/>
      <w:marLeft w:val="0"/>
      <w:marRight w:val="0"/>
      <w:marTop w:val="0"/>
      <w:marBottom w:val="0"/>
      <w:divBdr>
        <w:top w:val="none" w:sz="0" w:space="0" w:color="auto"/>
        <w:left w:val="none" w:sz="0" w:space="0" w:color="auto"/>
        <w:bottom w:val="none" w:sz="0" w:space="0" w:color="auto"/>
        <w:right w:val="none" w:sz="0" w:space="0" w:color="auto"/>
      </w:divBdr>
    </w:div>
    <w:div w:id="1509977043">
      <w:bodyDiv w:val="1"/>
      <w:marLeft w:val="0"/>
      <w:marRight w:val="0"/>
      <w:marTop w:val="0"/>
      <w:marBottom w:val="0"/>
      <w:divBdr>
        <w:top w:val="none" w:sz="0" w:space="0" w:color="auto"/>
        <w:left w:val="none" w:sz="0" w:space="0" w:color="auto"/>
        <w:bottom w:val="none" w:sz="0" w:space="0" w:color="auto"/>
        <w:right w:val="none" w:sz="0" w:space="0" w:color="auto"/>
      </w:divBdr>
    </w:div>
    <w:div w:id="1544827489">
      <w:bodyDiv w:val="1"/>
      <w:marLeft w:val="0"/>
      <w:marRight w:val="0"/>
      <w:marTop w:val="0"/>
      <w:marBottom w:val="0"/>
      <w:divBdr>
        <w:top w:val="none" w:sz="0" w:space="0" w:color="auto"/>
        <w:left w:val="none" w:sz="0" w:space="0" w:color="auto"/>
        <w:bottom w:val="none" w:sz="0" w:space="0" w:color="auto"/>
        <w:right w:val="none" w:sz="0" w:space="0" w:color="auto"/>
      </w:divBdr>
    </w:div>
    <w:div w:id="1572084891">
      <w:bodyDiv w:val="1"/>
      <w:marLeft w:val="0"/>
      <w:marRight w:val="0"/>
      <w:marTop w:val="0"/>
      <w:marBottom w:val="0"/>
      <w:divBdr>
        <w:top w:val="none" w:sz="0" w:space="0" w:color="auto"/>
        <w:left w:val="none" w:sz="0" w:space="0" w:color="auto"/>
        <w:bottom w:val="none" w:sz="0" w:space="0" w:color="auto"/>
        <w:right w:val="none" w:sz="0" w:space="0" w:color="auto"/>
      </w:divBdr>
    </w:div>
    <w:div w:id="1677223874">
      <w:bodyDiv w:val="1"/>
      <w:marLeft w:val="0"/>
      <w:marRight w:val="0"/>
      <w:marTop w:val="0"/>
      <w:marBottom w:val="0"/>
      <w:divBdr>
        <w:top w:val="none" w:sz="0" w:space="0" w:color="auto"/>
        <w:left w:val="none" w:sz="0" w:space="0" w:color="auto"/>
        <w:bottom w:val="none" w:sz="0" w:space="0" w:color="auto"/>
        <w:right w:val="none" w:sz="0" w:space="0" w:color="auto"/>
      </w:divBdr>
    </w:div>
    <w:div w:id="1964922763">
      <w:bodyDiv w:val="1"/>
      <w:marLeft w:val="0"/>
      <w:marRight w:val="0"/>
      <w:marTop w:val="0"/>
      <w:marBottom w:val="0"/>
      <w:divBdr>
        <w:top w:val="none" w:sz="0" w:space="0" w:color="auto"/>
        <w:left w:val="none" w:sz="0" w:space="0" w:color="auto"/>
        <w:bottom w:val="none" w:sz="0" w:space="0" w:color="auto"/>
        <w:right w:val="none" w:sz="0" w:space="0" w:color="auto"/>
      </w:divBdr>
    </w:div>
    <w:div w:id="20809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sco.fr/fr/ecrire-et-rediger/recommandations/" TargetMode="External"/><Relationship Id="rId13" Type="http://schemas.openxmlformats.org/officeDocument/2006/relationships/hyperlink" Target="https://www.cnesco.fr/fr/ecrire-et-rediger/recommandations/" TargetMode="External"/><Relationship Id="rId3" Type="http://schemas.openxmlformats.org/officeDocument/2006/relationships/settings" Target="settings.xml"/><Relationship Id="rId7" Type="http://schemas.openxmlformats.org/officeDocument/2006/relationships/hyperlink" Target="https://www.cnesco.fr/fr/ecrire-et-rediger/recommandations/" TargetMode="External"/><Relationship Id="rId12" Type="http://schemas.openxmlformats.org/officeDocument/2006/relationships/hyperlink" Target="https://www.cnesco.fr/fr/ecrire-et-rediger/recomma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esco.fr/fr/ecrire-et-rediger/recommandations/" TargetMode="External"/><Relationship Id="rId11" Type="http://schemas.openxmlformats.org/officeDocument/2006/relationships/hyperlink" Target="https://www.cnesco.fr/fr/ecrire-et-rediger/recommandations/" TargetMode="External"/><Relationship Id="rId5" Type="http://schemas.openxmlformats.org/officeDocument/2006/relationships/hyperlink" Target="https://www.cnesco.fr/fr/ecrire-et-rediger/recommandations/" TargetMode="External"/><Relationship Id="rId15" Type="http://schemas.openxmlformats.org/officeDocument/2006/relationships/theme" Target="theme/theme1.xml"/><Relationship Id="rId10" Type="http://schemas.openxmlformats.org/officeDocument/2006/relationships/hyperlink" Target="https://www.cnesco.fr/fr/ecrire-et-rediger/recommandations/" TargetMode="External"/><Relationship Id="rId4" Type="http://schemas.openxmlformats.org/officeDocument/2006/relationships/webSettings" Target="webSettings.xml"/><Relationship Id="rId9" Type="http://schemas.openxmlformats.org/officeDocument/2006/relationships/hyperlink" Target="https://www.cnesco.fr/fr/ecrire-et-rediger/recommanda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1768</Words>
  <Characters>9724</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Valzy</dc:creator>
  <cp:keywords/>
  <dc:description/>
  <cp:lastModifiedBy>Francis Valzy</cp:lastModifiedBy>
  <cp:revision>2</cp:revision>
  <dcterms:created xsi:type="dcterms:W3CDTF">2018-04-30T10:11:00Z</dcterms:created>
  <dcterms:modified xsi:type="dcterms:W3CDTF">2018-04-30T10:20:00Z</dcterms:modified>
</cp:coreProperties>
</file>